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2" w:rsidRPr="005271B2" w:rsidRDefault="005271B2" w:rsidP="005271B2">
      <w:pPr>
        <w:spacing w:after="0" w:line="240" w:lineRule="auto"/>
        <w:jc w:val="center"/>
        <w:rPr>
          <w:rFonts w:ascii="Times New Roman" w:hAnsi="Times New Roman"/>
          <w:b/>
          <w:caps/>
          <w:color w:val="000000"/>
          <w:sz w:val="28"/>
          <w:szCs w:val="28"/>
        </w:rPr>
      </w:pPr>
      <w:r w:rsidRPr="005271B2">
        <w:rPr>
          <w:rFonts w:ascii="Times New Roman" w:hAnsi="Times New Roman"/>
          <w:b/>
          <w:caps/>
          <w:color w:val="000000"/>
          <w:sz w:val="28"/>
          <w:szCs w:val="28"/>
        </w:rPr>
        <w:t>ДОКТОРАНТУРА</w:t>
      </w:r>
    </w:p>
    <w:p w:rsidR="005271B2" w:rsidRPr="005271B2" w:rsidRDefault="005271B2" w:rsidP="005271B2">
      <w:pPr>
        <w:spacing w:after="0" w:line="240" w:lineRule="auto"/>
        <w:jc w:val="center"/>
        <w:rPr>
          <w:rFonts w:ascii="Times New Roman" w:hAnsi="Times New Roman"/>
          <w:b/>
          <w:caps/>
          <w:color w:val="000000"/>
          <w:sz w:val="28"/>
          <w:szCs w:val="28"/>
        </w:rPr>
      </w:pPr>
      <w:r w:rsidRPr="005271B2">
        <w:rPr>
          <w:rFonts w:ascii="Times New Roman" w:hAnsi="Times New Roman"/>
          <w:b/>
          <w:caps/>
          <w:color w:val="000000"/>
          <w:sz w:val="28"/>
          <w:szCs w:val="28"/>
        </w:rPr>
        <w:t>ДОКТОРАНТУРАҒА ҚАБЫЛДАУДЫ ҰЙЫМДАСТЫРУ</w:t>
      </w:r>
    </w:p>
    <w:p w:rsidR="00B8033D" w:rsidRDefault="005271B2" w:rsidP="005271B2">
      <w:pPr>
        <w:spacing w:after="0" w:line="240" w:lineRule="auto"/>
        <w:jc w:val="center"/>
        <w:rPr>
          <w:rFonts w:ascii="Times New Roman" w:hAnsi="Times New Roman"/>
          <w:b/>
          <w:caps/>
          <w:color w:val="000000"/>
          <w:sz w:val="28"/>
          <w:szCs w:val="28"/>
        </w:rPr>
      </w:pPr>
      <w:r w:rsidRPr="005271B2">
        <w:rPr>
          <w:rFonts w:ascii="Times New Roman" w:hAnsi="Times New Roman"/>
          <w:b/>
          <w:caps/>
          <w:color w:val="000000"/>
          <w:sz w:val="28"/>
          <w:szCs w:val="28"/>
        </w:rPr>
        <w:t>(жоғары оқу орнынан кейінгі білім беру бағдарламалары)</w:t>
      </w:r>
    </w:p>
    <w:p w:rsidR="005271B2" w:rsidRDefault="005271B2" w:rsidP="005271B2">
      <w:pPr>
        <w:spacing w:after="0" w:line="240" w:lineRule="auto"/>
        <w:jc w:val="both"/>
        <w:rPr>
          <w:rFonts w:ascii="Times New Roman" w:hAnsi="Times New Roman"/>
          <w:bCs/>
          <w:sz w:val="28"/>
          <w:szCs w:val="28"/>
          <w:lang w:val="kk-KZ"/>
        </w:rPr>
      </w:pP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1. "Тұран-Астана" университеті докторанттарының контингентін қалыптастыру ғылыми және педагогикалық кадрларды даярлауға мемлекеттік білім беру тапсырысын орналастыру, сондай-ақ азаматтардың өз қаражаты есебінен оқу ақысын төлеу және магистратураның келесі мамандықтарына басқа да көздер арқылы жүзеге асырылады:</w:t>
      </w:r>
    </w:p>
    <w:p w:rsidR="005271B2" w:rsidRPr="005271B2" w:rsidRDefault="005271B2" w:rsidP="005271B2">
      <w:pPr>
        <w:spacing w:after="0" w:line="240" w:lineRule="auto"/>
        <w:ind w:firstLine="709"/>
        <w:jc w:val="both"/>
        <w:rPr>
          <w:rFonts w:ascii="Times New Roman" w:hAnsi="Times New Roman"/>
          <w:sz w:val="28"/>
          <w:szCs w:val="28"/>
          <w:lang w:val="kk-KZ"/>
        </w:rPr>
      </w:pPr>
    </w:p>
    <w:p w:rsidR="005271B2" w:rsidRPr="005271B2" w:rsidRDefault="005271B2" w:rsidP="005271B2">
      <w:pPr>
        <w:spacing w:after="0" w:line="240" w:lineRule="auto"/>
        <w:ind w:firstLine="709"/>
        <w:jc w:val="both"/>
        <w:rPr>
          <w:rFonts w:ascii="Times New Roman" w:hAnsi="Times New Roman"/>
          <w:b/>
          <w:sz w:val="28"/>
          <w:szCs w:val="28"/>
          <w:lang w:val="kk-KZ"/>
        </w:rPr>
      </w:pPr>
      <w:r w:rsidRPr="005271B2">
        <w:rPr>
          <w:rFonts w:ascii="Times New Roman" w:hAnsi="Times New Roman"/>
          <w:b/>
          <w:sz w:val="28"/>
          <w:szCs w:val="28"/>
          <w:lang w:val="kk-KZ"/>
        </w:rPr>
        <w:t>2. Докторантураға түсу емтихандарын өткізу тәртібі</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Магистратураға, докторантураға түсушілердің өтініштерін қабылдау ТАУ қабылдау комиссиясымен жүргізіледі. Өтініштерді қабылдау мерзімі күнтізбелік жылдың 3-25 шілдесі аралығында.</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Шет тілі, мамандық бойынша түсу емтихандары және кешенді тестілеу күнтізбелік жылдың 8-16 тамыз аралығында, қабылдау күнтізбелік жылдың 28 тамызына дейін жүргізіледі.</w:t>
      </w:r>
    </w:p>
    <w:p w:rsidR="005271B2" w:rsidRDefault="005271B2" w:rsidP="005271B2">
      <w:pPr>
        <w:spacing w:after="0" w:line="240" w:lineRule="auto"/>
        <w:ind w:firstLine="709"/>
        <w:jc w:val="both"/>
        <w:rPr>
          <w:rFonts w:ascii="Times New Roman" w:hAnsi="Times New Roman"/>
          <w:b/>
          <w:sz w:val="28"/>
          <w:szCs w:val="28"/>
          <w:lang w:val="kk-KZ"/>
        </w:rPr>
      </w:pPr>
    </w:p>
    <w:p w:rsidR="005271B2" w:rsidRPr="005271B2" w:rsidRDefault="005271B2" w:rsidP="005271B2">
      <w:pPr>
        <w:spacing w:after="0" w:line="240" w:lineRule="auto"/>
        <w:ind w:firstLine="709"/>
        <w:jc w:val="both"/>
        <w:rPr>
          <w:rFonts w:ascii="Times New Roman" w:hAnsi="Times New Roman"/>
          <w:b/>
          <w:sz w:val="28"/>
          <w:szCs w:val="28"/>
          <w:lang w:val="kk-KZ"/>
        </w:rPr>
      </w:pPr>
      <w:r w:rsidRPr="005271B2">
        <w:rPr>
          <w:rFonts w:ascii="Times New Roman" w:hAnsi="Times New Roman"/>
          <w:b/>
          <w:sz w:val="28"/>
          <w:szCs w:val="28"/>
          <w:lang w:val="kk-KZ"/>
        </w:rPr>
        <w:t>Докторантураға түсуші тұлғалар түсу емтихандарын тапсырады:</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 xml:space="preserve">1) Таңдау бойынша бір шет тілінен (ағылшын, француз, неміс); </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сертификаттарды ұсынады:</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ағылшын тілі: TOEFL ITP-кемінде 460 балл,</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 xml:space="preserve">TOEFL IBT шекті балл-кемінде 87, TOEFL шекті балл-кемінде 560 балл, </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IELTS шекті балл-кемінде 5.5;</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неміс тілі: DSH Niveau C1 / C1 деңгейі, TestDaF-Prufung Niveau C1 / C1 деңгейі;</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 xml:space="preserve">француз тілі: TFI-оқу және тыңдау секциялары бойынша В1 деңгейінен төмен емес), </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 xml:space="preserve">DELF B2 деңгейі, DALF C1 деңгейі, </w:t>
      </w: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TCF-кемінде 400 балл.</w:t>
      </w:r>
    </w:p>
    <w:p w:rsidR="005271B2" w:rsidRPr="005271B2" w:rsidRDefault="005271B2" w:rsidP="005271B2">
      <w:pPr>
        <w:spacing w:after="0" w:line="240" w:lineRule="auto"/>
        <w:ind w:firstLine="709"/>
        <w:jc w:val="both"/>
        <w:rPr>
          <w:rFonts w:ascii="Times New Roman" w:hAnsi="Times New Roman"/>
          <w:sz w:val="28"/>
          <w:szCs w:val="28"/>
          <w:lang w:val="kk-KZ"/>
        </w:rPr>
      </w:pPr>
    </w:p>
    <w:p w:rsidR="005271B2" w:rsidRPr="005271B2" w:rsidRDefault="005271B2" w:rsidP="005271B2">
      <w:pPr>
        <w:spacing w:after="0" w:line="240" w:lineRule="auto"/>
        <w:ind w:firstLine="709"/>
        <w:jc w:val="both"/>
        <w:rPr>
          <w:rFonts w:ascii="Times New Roman" w:hAnsi="Times New Roman"/>
          <w:sz w:val="28"/>
          <w:szCs w:val="28"/>
          <w:lang w:val="kk-KZ"/>
        </w:rPr>
      </w:pPr>
      <w:r w:rsidRPr="005271B2">
        <w:rPr>
          <w:rFonts w:ascii="Times New Roman" w:hAnsi="Times New Roman"/>
          <w:sz w:val="28"/>
          <w:szCs w:val="28"/>
          <w:lang w:val="kk-KZ"/>
        </w:rPr>
        <w:t>Ұсынылған сертификаттардың түпнұсқалығын жоғары оқу орындарының қабылдау комиссиялары тексереді.</w:t>
      </w:r>
    </w:p>
    <w:p w:rsidR="005271B2" w:rsidRPr="005271B2" w:rsidRDefault="005271B2" w:rsidP="005271B2">
      <w:pPr>
        <w:spacing w:after="0" w:line="240" w:lineRule="auto"/>
        <w:ind w:firstLine="709"/>
        <w:jc w:val="both"/>
        <w:rPr>
          <w:rFonts w:ascii="Times New Roman" w:hAnsi="Times New Roman"/>
          <w:sz w:val="28"/>
          <w:szCs w:val="28"/>
          <w:lang w:val="kk-KZ"/>
        </w:rPr>
      </w:pPr>
    </w:p>
    <w:p w:rsidR="00B8033D" w:rsidRPr="005271B2" w:rsidRDefault="005271B2" w:rsidP="005271B2">
      <w:pPr>
        <w:spacing w:after="0" w:line="240" w:lineRule="auto"/>
        <w:ind w:firstLine="709"/>
        <w:jc w:val="both"/>
        <w:rPr>
          <w:rFonts w:ascii="Times New Roman" w:hAnsi="Times New Roman"/>
          <w:sz w:val="28"/>
          <w:szCs w:val="28"/>
        </w:rPr>
      </w:pPr>
      <w:r w:rsidRPr="005271B2">
        <w:rPr>
          <w:rFonts w:ascii="Times New Roman" w:hAnsi="Times New Roman"/>
          <w:sz w:val="28"/>
          <w:szCs w:val="28"/>
        </w:rPr>
        <w:t>2) "Экономика" Докторантура бағдарламасына тү</w:t>
      </w:r>
      <w:r>
        <w:rPr>
          <w:rFonts w:ascii="Times New Roman" w:hAnsi="Times New Roman"/>
          <w:sz w:val="28"/>
          <w:szCs w:val="28"/>
        </w:rPr>
        <w:t>су үшін мамандық бойынша пәндер</w:t>
      </w:r>
    </w:p>
    <w:p w:rsidR="005271B2" w:rsidRDefault="005271B2" w:rsidP="005271B2">
      <w:pPr>
        <w:spacing w:after="0" w:line="240" w:lineRule="auto"/>
        <w:jc w:val="both"/>
        <w:rPr>
          <w:rFonts w:ascii="Times New Roman" w:hAnsi="Times New Roman"/>
          <w:color w:val="00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2542"/>
        <w:gridCol w:w="6641"/>
      </w:tblGrid>
      <w:tr w:rsidR="00B8033D" w:rsidTr="00B8033D">
        <w:tc>
          <w:tcPr>
            <w:tcW w:w="564" w:type="dxa"/>
            <w:tcBorders>
              <w:top w:val="single" w:sz="4" w:space="0" w:color="000000"/>
              <w:left w:val="single" w:sz="4" w:space="0" w:color="000000"/>
              <w:bottom w:val="single" w:sz="4" w:space="0" w:color="000000"/>
              <w:right w:val="single" w:sz="4" w:space="0" w:color="000000"/>
            </w:tcBorders>
            <w:vAlign w:val="center"/>
            <w:hideMark/>
          </w:tcPr>
          <w:p w:rsidR="00B8033D" w:rsidRDefault="00B8033D">
            <w:pPr>
              <w:tabs>
                <w:tab w:val="left" w:pos="8535"/>
              </w:tabs>
              <w:spacing w:after="0" w:line="240" w:lineRule="auto"/>
              <w:jc w:val="center"/>
              <w:rPr>
                <w:rFonts w:ascii="Times New Roman" w:hAnsi="Times New Roman"/>
                <w:b/>
                <w:sz w:val="24"/>
                <w:szCs w:val="24"/>
              </w:rPr>
            </w:pPr>
            <w:r>
              <w:rPr>
                <w:rFonts w:ascii="Times New Roman" w:hAnsi="Times New Roman"/>
                <w:b/>
                <w:sz w:val="24"/>
                <w:szCs w:val="24"/>
              </w:rPr>
              <w:t>№</w:t>
            </w: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B8033D" w:rsidRPr="005271B2" w:rsidRDefault="005271B2">
            <w:pPr>
              <w:tabs>
                <w:tab w:val="left" w:pos="8535"/>
              </w:tabs>
              <w:spacing w:after="0" w:line="240" w:lineRule="auto"/>
              <w:jc w:val="center"/>
              <w:rPr>
                <w:rFonts w:ascii="Times New Roman" w:hAnsi="Times New Roman"/>
                <w:b/>
                <w:sz w:val="24"/>
                <w:szCs w:val="24"/>
                <w:lang w:val="kk-KZ"/>
              </w:rPr>
            </w:pPr>
            <w:r>
              <w:rPr>
                <w:rFonts w:ascii="Times New Roman" w:hAnsi="Times New Roman"/>
                <w:b/>
                <w:sz w:val="24"/>
                <w:szCs w:val="24"/>
              </w:rPr>
              <w:t>Маманды</w:t>
            </w:r>
            <w:r>
              <w:rPr>
                <w:rFonts w:ascii="Times New Roman" w:hAnsi="Times New Roman"/>
                <w:b/>
                <w:sz w:val="24"/>
                <w:szCs w:val="24"/>
                <w:lang w:val="kk-KZ"/>
              </w:rPr>
              <w:t>қ</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B8033D" w:rsidRDefault="005271B2">
            <w:pPr>
              <w:tabs>
                <w:tab w:val="left" w:pos="853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Пәндер атауы</w:t>
            </w:r>
          </w:p>
        </w:tc>
      </w:tr>
      <w:tr w:rsidR="00B8033D" w:rsidTr="00B8033D">
        <w:tc>
          <w:tcPr>
            <w:tcW w:w="564" w:type="dxa"/>
            <w:tcBorders>
              <w:top w:val="single" w:sz="4" w:space="0" w:color="000000"/>
              <w:left w:val="single" w:sz="4" w:space="0" w:color="000000"/>
              <w:bottom w:val="single" w:sz="4" w:space="0" w:color="000000"/>
              <w:right w:val="single" w:sz="4" w:space="0" w:color="000000"/>
            </w:tcBorders>
            <w:vAlign w:val="center"/>
            <w:hideMark/>
          </w:tcPr>
          <w:p w:rsidR="00B8033D" w:rsidRDefault="00B8033D">
            <w:pPr>
              <w:tabs>
                <w:tab w:val="left" w:pos="8535"/>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1</w:t>
            </w: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B8033D" w:rsidRDefault="00B8033D">
            <w:pPr>
              <w:tabs>
                <w:tab w:val="left" w:pos="8535"/>
              </w:tabs>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D</w:t>
            </w:r>
            <w:r>
              <w:rPr>
                <w:rFonts w:ascii="Times New Roman" w:hAnsi="Times New Roman"/>
                <w:sz w:val="24"/>
                <w:szCs w:val="24"/>
              </w:rPr>
              <w:t>050600</w:t>
            </w:r>
          </w:p>
          <w:p w:rsidR="00B8033D" w:rsidRDefault="00B8033D">
            <w:pPr>
              <w:tabs>
                <w:tab w:val="left" w:pos="8535"/>
              </w:tabs>
              <w:spacing w:after="0" w:line="240" w:lineRule="auto"/>
              <w:rPr>
                <w:rFonts w:ascii="Times New Roman" w:hAnsi="Times New Roman"/>
                <w:sz w:val="24"/>
                <w:szCs w:val="24"/>
              </w:rPr>
            </w:pPr>
            <w:r>
              <w:rPr>
                <w:rFonts w:ascii="Times New Roman" w:hAnsi="Times New Roman"/>
                <w:sz w:val="24"/>
                <w:szCs w:val="24"/>
              </w:rPr>
              <w:t>«Экономика»</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5271B2" w:rsidRPr="005271B2" w:rsidRDefault="005271B2" w:rsidP="005271B2">
            <w:pPr>
              <w:tabs>
                <w:tab w:val="left" w:pos="8535"/>
              </w:tabs>
              <w:spacing w:after="0" w:line="240" w:lineRule="auto"/>
              <w:contextualSpacing/>
              <w:rPr>
                <w:rFonts w:ascii="Times New Roman" w:hAnsi="Times New Roman"/>
                <w:sz w:val="24"/>
                <w:szCs w:val="24"/>
              </w:rPr>
            </w:pPr>
            <w:r w:rsidRPr="005271B2">
              <w:rPr>
                <w:rFonts w:ascii="Times New Roman" w:hAnsi="Times New Roman"/>
                <w:sz w:val="24"/>
                <w:szCs w:val="24"/>
              </w:rPr>
              <w:t>Фирманың экономикалық қауіпсіздігі</w:t>
            </w:r>
          </w:p>
          <w:p w:rsidR="005271B2" w:rsidRPr="005271B2" w:rsidRDefault="005271B2" w:rsidP="005271B2">
            <w:pPr>
              <w:tabs>
                <w:tab w:val="left" w:pos="8535"/>
              </w:tabs>
              <w:spacing w:after="0" w:line="240" w:lineRule="auto"/>
              <w:contextualSpacing/>
              <w:rPr>
                <w:rFonts w:ascii="Times New Roman" w:hAnsi="Times New Roman"/>
                <w:sz w:val="24"/>
                <w:szCs w:val="24"/>
              </w:rPr>
            </w:pPr>
            <w:r w:rsidRPr="005271B2">
              <w:rPr>
                <w:rFonts w:ascii="Times New Roman" w:hAnsi="Times New Roman"/>
                <w:sz w:val="24"/>
                <w:szCs w:val="24"/>
              </w:rPr>
              <w:t xml:space="preserve">Аймақтар экономикасы </w:t>
            </w:r>
          </w:p>
          <w:p w:rsidR="00B8033D" w:rsidRDefault="005271B2" w:rsidP="005271B2">
            <w:pPr>
              <w:tabs>
                <w:tab w:val="left" w:pos="8535"/>
              </w:tabs>
              <w:spacing w:after="0" w:line="240" w:lineRule="auto"/>
              <w:contextualSpacing/>
              <w:rPr>
                <w:rFonts w:ascii="Times New Roman" w:hAnsi="Times New Roman"/>
                <w:sz w:val="24"/>
                <w:szCs w:val="24"/>
              </w:rPr>
            </w:pPr>
            <w:r w:rsidRPr="005271B2">
              <w:rPr>
                <w:rFonts w:ascii="Times New Roman" w:hAnsi="Times New Roman"/>
                <w:sz w:val="24"/>
                <w:szCs w:val="24"/>
              </w:rPr>
              <w:t xml:space="preserve"> Ғылым тарихы мен философиясы</w:t>
            </w:r>
          </w:p>
        </w:tc>
      </w:tr>
    </w:tbl>
    <w:p w:rsidR="00B8033D" w:rsidRDefault="00B8033D" w:rsidP="00B8033D">
      <w:pPr>
        <w:spacing w:after="0" w:line="240" w:lineRule="auto"/>
        <w:jc w:val="both"/>
        <w:rPr>
          <w:rFonts w:ascii="Times New Roman" w:hAnsi="Times New Roman"/>
          <w:color w:val="000000"/>
          <w:sz w:val="28"/>
          <w:szCs w:val="28"/>
        </w:rPr>
      </w:pPr>
    </w:p>
    <w:p w:rsidR="005271B2" w:rsidRDefault="005271B2" w:rsidP="005271B2">
      <w:pPr>
        <w:pStyle w:val="a4"/>
        <w:shd w:val="clear" w:color="auto" w:fill="FFFFFF"/>
        <w:tabs>
          <w:tab w:val="left" w:pos="851"/>
        </w:tabs>
        <w:spacing w:before="0" w:beforeAutospacing="0" w:after="0" w:afterAutospacing="0"/>
        <w:ind w:firstLine="709"/>
        <w:jc w:val="center"/>
        <w:textAlignment w:val="baseline"/>
        <w:rPr>
          <w:b/>
          <w:sz w:val="28"/>
          <w:szCs w:val="28"/>
          <w:lang w:val="kk-KZ" w:eastAsia="ar-SA"/>
        </w:rPr>
      </w:pPr>
      <w:r w:rsidRPr="005271B2">
        <w:rPr>
          <w:b/>
          <w:sz w:val="28"/>
          <w:szCs w:val="28"/>
          <w:lang w:eastAsia="ar-SA"/>
        </w:rPr>
        <w:t>Докторантураға түсу үшін құжаттарды қабылдау тәртібі</w:t>
      </w:r>
    </w:p>
    <w:p w:rsidR="005271B2" w:rsidRPr="005271B2" w:rsidRDefault="005271B2" w:rsidP="005271B2">
      <w:pPr>
        <w:pStyle w:val="a4"/>
        <w:shd w:val="clear" w:color="auto" w:fill="FFFFFF"/>
        <w:tabs>
          <w:tab w:val="left" w:pos="851"/>
        </w:tabs>
        <w:spacing w:before="0" w:beforeAutospacing="0" w:after="0" w:afterAutospacing="0"/>
        <w:ind w:firstLine="709"/>
        <w:jc w:val="center"/>
        <w:textAlignment w:val="baseline"/>
        <w:rPr>
          <w:b/>
          <w:sz w:val="28"/>
          <w:szCs w:val="28"/>
          <w:lang w:val="kk-KZ" w:eastAsia="ar-SA"/>
        </w:rPr>
      </w:pP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val="kk-KZ" w:eastAsia="ar-SA"/>
        </w:rPr>
      </w:pPr>
      <w:r w:rsidRPr="005271B2">
        <w:rPr>
          <w:sz w:val="28"/>
          <w:szCs w:val="28"/>
          <w:lang w:val="kk-KZ" w:eastAsia="ar-SA"/>
        </w:rPr>
        <w:t xml:space="preserve">Докторантураға "магистр" дәрежесі және 1 (бір) жылдан кем емес жұмыс өтілі бар тұлғалар қабылданады. </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Докторантураға түсуші тұлғалар ЖОО-на келесі құжаттарды тапсырады: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1) жеке басын куәландыратын құжаттың көшірмесі;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2) білімі туралы құжаттың көшірмесі;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3) шет тілін меңгерудің жалпыеуропалық құзыреттеріне (стандарттарына) сәйкес шет тілін меңгергенін растайтын халықаралық сертификат;</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4) ғылыми және ғылыми-әдістемелік жұмыстардың тізімі (бар болған жағдайда);</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5) 3x4 сантиметр көлеміндегі алты фотосурет;</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6) № 907 бұйрығымен бекітілген 086-У нысанындағы медициналық анықтама;;</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7) жұмыс орны бойынша кадр қызметі куәландырған кадрларды есепке алу жөніндегі жеке іс парағы немесе еңбек қызметін растайтын өзге де құжат.</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Осы тармақта көрсетілген құжаттардың көшірмелерімен бірге салыстырып тексеру үшін олардың түпнұсқалары ұсынылады. Салыстырып тексеру жүргізілгеннен кейін түпнұсқалар қайтарылады.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 xml:space="preserve">Докторантураның білім беру бағдарламаларының топтары бойынша мақсатты даярлау шеңберінде мемлекеттік білім беру тапсырысы бойынша оқуға үміткер тұлғалар үшін өтініштерді (еркін нысанда) қабылдау ЖОО-да жүзеге асырылады. </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сертификаттарды ұсынады: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ағылшын тілі;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неміс тілі;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француз тілі.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Ұсынылатын сертификаттардың түпнұсқалығын ТАУ-дың Қабылдау комиссиясы тексереді.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Докторантураның білім беру бағдарламаларының топтары бойынша түсу емтиханын докторантураның білім беру бағдарламаларына қабылдауды жүзеге асыратын жоғары оқу орындары дербес жүргізеді.  Бұл ретте оқуға түсуші докторантураның білім беру бағдарламалары тобы бойынша түсу емтиханын тек томвузда тапсырады.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lastRenderedPageBreak/>
        <w:t xml:space="preserve">Докторантураға түсу емтихандарын өткізу кезеңінде – ЖОО-да білім беру бағдарламаларының топтары бойынша емтихан комиссиялары құрылады. </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Білім беру бағдарламаларының топтары бойынша емтихан комиссиялары тиісті бейін бойынша доктор немесе ғылым кандидаты ғылыми дәрежесі немесе философия докторы (PhD) дәрежесі бар ЖОО-ның профессор-оқытушылар құрамы, жоғары оқу орындарының қызметкерлері қатарынан құрылады.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 xml:space="preserve">Емтихан комиссияларының құрамы, олардың төрағалары көрсетілген жоғары оқу орны басшысының бұйрығымен бекітіледі.   </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 xml:space="preserve">PhD докторантураға түсетін шетелдіктер түсу емтихандарын тапсырады: </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1) мемлекеттік немесе орыс тілі бойынша (оқыту тілі);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2) мамандық бойынша кешенді емтихан.</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Қазақстан Республикасында тұрақты тұратын азаматтығы жоқ адамдар, егер олар әскери, арнаулы оқу орындарын қоспағанда, осы деңгейдегі білімді алғаш рет алатын болса, мемлекеттік білім беру тапсырысына сәйкес конкурстық негізде жоғары оқу орнынан кейінгі тегін білім ала алады.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Шетелдіктерді магистратурада, докторантурада оқыту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Қазақстан Республикасының халықаралық шарттарымен айқындалады.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Апелляция. Бірыңғай талаптардың сақталуын қамтамасыз ету және Даулы мәселелерді шешу мақсатында апелляцияларды қарау жөніндегі Республикалық комиссия құрылады. "Тұран-Астана" университетінің апелляциялық комиссиясы докторантураға түсетін тұлғалардан емтихан материалдарының мазмұны бойынша және техникалық себептер бойынша өтініштерді қабылдайды және қарайды. Шет тілдері бойынша апелляцияны қарау нәтижелерін жоғары оқу орнының апелляциялық комиссиясы Республикалық апелляциялық комиссияға береді, ол апелляциялық комиссия ұсынысының негізділігін апелляциялық комиссияның ұсынысы келіп түскеннен кейін бір күн ішінде қарайды және шет тілдері бойынша түсу емтихандарының нәтижелерін апелляциялайтын тұлғаға балл қосу туралы шешім қабылдайды.</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Апелляцияға өтініш апелляциялық комиссия төрағасының атына беріледі. Емтихан материалдарының мазмұны және техникалық себептер бойынша өтініштер қабылдау емтиханының нәтижелері жарияланғаннан кейін келесі күні сағат 13.00-ге дейін қабылданады және апелляциялық комиссия өтініш берілген күннен бастап бір күн ішінде қарайды. Апелляциялық комиссия әрбір тұлғамен жеке тәртіпте жұмыс істейді.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r w:rsidRPr="005271B2">
        <w:rPr>
          <w:sz w:val="28"/>
          <w:szCs w:val="28"/>
          <w:lang w:eastAsia="ar-SA"/>
        </w:rPr>
        <w:t xml:space="preserve">Тұлға апелляциялық комиссияның отырысына келмеген жағдайда оның апелляцияға берген өтініші қаралмайды. Апелляциялық комиссия өтінішті қараған кезде апелляция берген тұлға жеке басын куәландыратын құжатты ұсынады. Апелляциялық комиссиялардың шешімдері Комиссия мүшелерінің жалпы санының көпшілік даусымен қабылданады. </w:t>
      </w:r>
      <w:r w:rsidRPr="005271B2">
        <w:rPr>
          <w:sz w:val="28"/>
          <w:szCs w:val="28"/>
          <w:lang w:eastAsia="ar-SA"/>
        </w:rPr>
        <w:lastRenderedPageBreak/>
        <w:t>Дауыстар тең болған жағдайда Комиссия төрағасының дауысы шешуші болып табылады. Апелляциялық комиссиялардың жұмысы төраға мен Комиссияның барлық мүшелері қол қойған хаттамамен ресімделеді.</w:t>
      </w:r>
    </w:p>
    <w:p w:rsidR="005271B2" w:rsidRPr="005271B2" w:rsidRDefault="005271B2" w:rsidP="005271B2">
      <w:pPr>
        <w:pStyle w:val="a4"/>
        <w:shd w:val="clear" w:color="auto" w:fill="FFFFFF"/>
        <w:tabs>
          <w:tab w:val="left" w:pos="851"/>
        </w:tabs>
        <w:spacing w:before="0" w:beforeAutospacing="0" w:after="0" w:afterAutospacing="0"/>
        <w:ind w:firstLine="709"/>
        <w:jc w:val="both"/>
        <w:textAlignment w:val="baseline"/>
        <w:rPr>
          <w:sz w:val="28"/>
          <w:szCs w:val="28"/>
          <w:lang w:eastAsia="ar-SA"/>
        </w:rPr>
      </w:pPr>
    </w:p>
    <w:p w:rsidR="00651AF9" w:rsidRPr="005271B2" w:rsidRDefault="005271B2" w:rsidP="005271B2">
      <w:pPr>
        <w:pStyle w:val="a4"/>
        <w:shd w:val="clear" w:color="auto" w:fill="FFFFFF"/>
        <w:tabs>
          <w:tab w:val="left" w:pos="851"/>
        </w:tabs>
        <w:spacing w:before="0" w:beforeAutospacing="0" w:after="0" w:afterAutospacing="0"/>
        <w:ind w:firstLine="709"/>
        <w:jc w:val="both"/>
        <w:textAlignment w:val="baseline"/>
        <w:rPr>
          <w:b/>
          <w:sz w:val="28"/>
          <w:szCs w:val="28"/>
          <w:lang w:val="en-US"/>
        </w:rPr>
      </w:pPr>
      <w:r w:rsidRPr="005271B2">
        <w:rPr>
          <w:sz w:val="28"/>
          <w:szCs w:val="28"/>
          <w:lang w:eastAsia="ar-SA"/>
        </w:rPr>
        <w:t>Төлем: 1 200 000 теңге.</w:t>
      </w:r>
    </w:p>
    <w:sectPr w:rsidR="00651AF9" w:rsidRPr="005271B2" w:rsidSect="001D2162">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4E60"/>
    <w:multiLevelType w:val="hybridMultilevel"/>
    <w:tmpl w:val="D2EE8EE2"/>
    <w:lvl w:ilvl="0" w:tplc="C762A16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3F2F9C"/>
    <w:multiLevelType w:val="multilevel"/>
    <w:tmpl w:val="3C26F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DB6E58"/>
    <w:multiLevelType w:val="multilevel"/>
    <w:tmpl w:val="C7DE4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71215E"/>
    <w:multiLevelType w:val="multilevel"/>
    <w:tmpl w:val="A6A6B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8033D"/>
    <w:rsid w:val="001D2162"/>
    <w:rsid w:val="003B4B06"/>
    <w:rsid w:val="005271B2"/>
    <w:rsid w:val="005654EA"/>
    <w:rsid w:val="00651AF9"/>
    <w:rsid w:val="007B0EF8"/>
    <w:rsid w:val="00B8033D"/>
    <w:rsid w:val="00CC48BD"/>
    <w:rsid w:val="00DE108D"/>
    <w:rsid w:val="00F02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EA"/>
  </w:style>
  <w:style w:type="paragraph" w:styleId="1">
    <w:name w:val="heading 1"/>
    <w:basedOn w:val="a"/>
    <w:link w:val="10"/>
    <w:uiPriority w:val="9"/>
    <w:qFormat/>
    <w:rsid w:val="00B80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8033D"/>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33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B8033D"/>
    <w:rPr>
      <w:rFonts w:ascii="Cambria" w:eastAsia="Times New Roman" w:hAnsi="Cambria" w:cs="Times New Roman"/>
      <w:b/>
      <w:bCs/>
      <w:color w:val="4F81BD"/>
    </w:rPr>
  </w:style>
  <w:style w:type="character" w:styleId="a3">
    <w:name w:val="Hyperlink"/>
    <w:basedOn w:val="a0"/>
    <w:uiPriority w:val="99"/>
    <w:semiHidden/>
    <w:unhideWhenUsed/>
    <w:rsid w:val="00B8033D"/>
    <w:rPr>
      <w:color w:val="0000FF"/>
      <w:u w:val="single"/>
    </w:rPr>
  </w:style>
  <w:style w:type="paragraph" w:styleId="a4">
    <w:name w:val="Normal (Web)"/>
    <w:basedOn w:val="a"/>
    <w:unhideWhenUsed/>
    <w:rsid w:val="00B80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выноски Знак"/>
    <w:basedOn w:val="a0"/>
    <w:link w:val="a6"/>
    <w:uiPriority w:val="99"/>
    <w:semiHidden/>
    <w:rsid w:val="00B8033D"/>
    <w:rPr>
      <w:rFonts w:ascii="Tahoma" w:eastAsia="Times New Roman" w:hAnsi="Tahoma" w:cs="Tahoma"/>
      <w:sz w:val="16"/>
      <w:szCs w:val="16"/>
    </w:rPr>
  </w:style>
  <w:style w:type="paragraph" w:styleId="a6">
    <w:name w:val="Balloon Text"/>
    <w:basedOn w:val="a"/>
    <w:link w:val="a5"/>
    <w:uiPriority w:val="99"/>
    <w:semiHidden/>
    <w:unhideWhenUsed/>
    <w:rsid w:val="00B8033D"/>
    <w:pPr>
      <w:spacing w:after="0" w:line="240" w:lineRule="auto"/>
    </w:pPr>
    <w:rPr>
      <w:rFonts w:ascii="Tahoma" w:eastAsia="Times New Roman" w:hAnsi="Tahoma" w:cs="Tahoma"/>
      <w:sz w:val="16"/>
      <w:szCs w:val="16"/>
    </w:rPr>
  </w:style>
  <w:style w:type="character" w:customStyle="1" w:styleId="a7">
    <w:name w:val="Без интервала Знак"/>
    <w:link w:val="a8"/>
    <w:uiPriority w:val="1"/>
    <w:locked/>
    <w:rsid w:val="00B8033D"/>
    <w:rPr>
      <w:rFonts w:ascii="Calibri" w:eastAsia="Calibri" w:hAnsi="Calibri"/>
      <w:lang w:eastAsia="en-US"/>
    </w:rPr>
  </w:style>
  <w:style w:type="paragraph" w:styleId="a8">
    <w:name w:val="No Spacing"/>
    <w:link w:val="a7"/>
    <w:uiPriority w:val="1"/>
    <w:qFormat/>
    <w:rsid w:val="00B8033D"/>
    <w:pPr>
      <w:spacing w:after="0" w:line="240" w:lineRule="auto"/>
    </w:pPr>
    <w:rPr>
      <w:rFonts w:ascii="Calibri" w:eastAsia="Calibri" w:hAnsi="Calibri"/>
      <w:lang w:eastAsia="en-US"/>
    </w:rPr>
  </w:style>
  <w:style w:type="paragraph" w:styleId="a9">
    <w:name w:val="List Paragraph"/>
    <w:basedOn w:val="a"/>
    <w:uiPriority w:val="34"/>
    <w:qFormat/>
    <w:rsid w:val="00B8033D"/>
    <w:pPr>
      <w:ind w:left="720"/>
      <w:contextualSpacing/>
    </w:pPr>
    <w:rPr>
      <w:rFonts w:ascii="Calibri" w:eastAsia="Times New Roman" w:hAnsi="Calibri" w:cs="Times New Roman"/>
    </w:rPr>
  </w:style>
  <w:style w:type="paragraph" w:customStyle="1" w:styleId="j12">
    <w:name w:val="j12"/>
    <w:basedOn w:val="a"/>
    <w:rsid w:val="00B80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бычный2"/>
    <w:rsid w:val="00B8033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s1">
    <w:name w:val="s1"/>
    <w:rsid w:val="00B8033D"/>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3723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Saule-PC</dc:creator>
  <cp:lastModifiedBy>Каракат Мукашевна</cp:lastModifiedBy>
  <cp:revision>2</cp:revision>
  <dcterms:created xsi:type="dcterms:W3CDTF">2019-03-11T05:44:00Z</dcterms:created>
  <dcterms:modified xsi:type="dcterms:W3CDTF">2019-03-11T05:44:00Z</dcterms:modified>
</cp:coreProperties>
</file>